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5010D" w14:textId="0E0793E2" w:rsidR="00994E5F" w:rsidRPr="004B7E17" w:rsidRDefault="00F1679E" w:rsidP="00994E5F">
      <w:pPr>
        <w:widowControl w:val="0"/>
        <w:tabs>
          <w:tab w:val="right" w:pos="9639"/>
          <w:tab w:val="right" w:pos="13323"/>
        </w:tabs>
        <w:spacing w:after="0"/>
        <w:jc w:val="both"/>
        <w:rPr>
          <w:rFonts w:ascii="Arial" w:hAnsi="Arial" w:cs="Arial"/>
          <w:b/>
          <w:noProof/>
          <w:sz w:val="24"/>
          <w:szCs w:val="24"/>
          <w:lang w:eastAsia="ja-JP"/>
        </w:rPr>
      </w:pPr>
      <w:r w:rsidRPr="00F1679E">
        <w:rPr>
          <w:rFonts w:ascii="Arial" w:hAnsi="Arial" w:cs="Arial"/>
          <w:b/>
          <w:noProof/>
          <w:sz w:val="24"/>
          <w:szCs w:val="24"/>
        </w:rPr>
        <w:t>3GPPRAN4#</w:t>
      </w:r>
      <w:r w:rsidR="009D1C09">
        <w:rPr>
          <w:rFonts w:ascii="Arial" w:hAnsi="Arial" w:cs="Arial"/>
          <w:b/>
          <w:noProof/>
          <w:sz w:val="24"/>
          <w:szCs w:val="24"/>
        </w:rPr>
        <w:t>8</w:t>
      </w:r>
      <w:r w:rsidR="00FB434D">
        <w:rPr>
          <w:rFonts w:ascii="Arial" w:hAnsi="Arial" w:cs="Arial"/>
          <w:b/>
          <w:noProof/>
          <w:sz w:val="24"/>
          <w:szCs w:val="24"/>
        </w:rPr>
        <w:t>8</w:t>
      </w:r>
      <w:r w:rsidR="00352A9E">
        <w:rPr>
          <w:rFonts w:ascii="Arial" w:hAnsi="Arial" w:cs="Arial"/>
          <w:b/>
          <w:noProof/>
          <w:sz w:val="24"/>
          <w:szCs w:val="24"/>
        </w:rPr>
        <w:t>-Bis</w:t>
      </w:r>
      <w:r w:rsidR="00994E5F" w:rsidRPr="004B7E17">
        <w:rPr>
          <w:rFonts w:ascii="Arial" w:hAnsi="Arial" w:cs="Arial"/>
          <w:b/>
          <w:noProof/>
          <w:sz w:val="24"/>
          <w:szCs w:val="24"/>
        </w:rPr>
        <w:tab/>
      </w:r>
      <w:r w:rsidR="009414E8">
        <w:rPr>
          <w:rFonts w:ascii="Arial" w:hAnsi="Arial" w:cs="Arial"/>
          <w:b/>
          <w:bCs/>
          <w:color w:val="808080"/>
          <w:sz w:val="26"/>
          <w:szCs w:val="26"/>
        </w:rPr>
        <w:t>R4-1813660</w:t>
      </w:r>
    </w:p>
    <w:p w14:paraId="6DE6455C" w14:textId="594C20E9" w:rsidR="00994E5F" w:rsidRDefault="00687858" w:rsidP="00994E5F">
      <w:pPr>
        <w:pStyle w:val="Footer"/>
        <w:jc w:val="both"/>
        <w:rPr>
          <w:i w:val="0"/>
          <w:noProof w:val="0"/>
          <w:sz w:val="24"/>
          <w:szCs w:val="24"/>
          <w:lang w:eastAsia="ja-JP"/>
        </w:rPr>
      </w:pPr>
      <w:r>
        <w:rPr>
          <w:rFonts w:eastAsia="SimSun"/>
          <w:i w:val="0"/>
          <w:noProof w:val="0"/>
          <w:sz w:val="24"/>
          <w:szCs w:val="24"/>
        </w:rPr>
        <w:t>Chengdu</w:t>
      </w:r>
      <w:r w:rsidR="00994E5F">
        <w:rPr>
          <w:i w:val="0"/>
          <w:noProof w:val="0"/>
          <w:sz w:val="24"/>
          <w:szCs w:val="24"/>
          <w:lang w:eastAsia="ja-JP"/>
        </w:rPr>
        <w:t xml:space="preserve">, </w:t>
      </w:r>
      <w:r>
        <w:rPr>
          <w:i w:val="0"/>
          <w:noProof w:val="0"/>
          <w:sz w:val="24"/>
          <w:szCs w:val="24"/>
          <w:lang w:eastAsia="ja-JP"/>
        </w:rPr>
        <w:t>China</w:t>
      </w:r>
      <w:r w:rsidR="00FB434D">
        <w:rPr>
          <w:i w:val="0"/>
          <w:noProof w:val="0"/>
          <w:sz w:val="24"/>
          <w:szCs w:val="24"/>
          <w:lang w:eastAsia="ja-JP"/>
        </w:rPr>
        <w:t xml:space="preserve">, </w:t>
      </w:r>
      <w:r>
        <w:rPr>
          <w:i w:val="0"/>
          <w:noProof w:val="0"/>
          <w:sz w:val="24"/>
          <w:szCs w:val="24"/>
          <w:lang w:eastAsia="ja-JP"/>
        </w:rPr>
        <w:t>Oct</w:t>
      </w:r>
      <w:r w:rsidR="00012ADE">
        <w:rPr>
          <w:i w:val="0"/>
          <w:noProof w:val="0"/>
          <w:sz w:val="24"/>
          <w:szCs w:val="24"/>
          <w:lang w:eastAsia="ja-JP"/>
        </w:rPr>
        <w:t xml:space="preserve"> </w:t>
      </w:r>
      <w:r>
        <w:rPr>
          <w:i w:val="0"/>
          <w:noProof w:val="0"/>
          <w:sz w:val="24"/>
          <w:szCs w:val="24"/>
          <w:lang w:eastAsia="ja-JP"/>
        </w:rPr>
        <w:t>8</w:t>
      </w:r>
      <w:r w:rsidR="00FB434D" w:rsidRPr="00FB434D">
        <w:rPr>
          <w:i w:val="0"/>
          <w:noProof w:val="0"/>
          <w:sz w:val="24"/>
          <w:szCs w:val="24"/>
          <w:vertAlign w:val="superscript"/>
          <w:lang w:eastAsia="ja-JP"/>
        </w:rPr>
        <w:t>th</w:t>
      </w:r>
      <w:r w:rsidR="00FB434D">
        <w:rPr>
          <w:i w:val="0"/>
          <w:noProof w:val="0"/>
          <w:sz w:val="24"/>
          <w:szCs w:val="24"/>
          <w:lang w:eastAsia="ja-JP"/>
        </w:rPr>
        <w:t xml:space="preserve"> </w:t>
      </w:r>
      <w:r w:rsidR="00012ADE">
        <w:rPr>
          <w:i w:val="0"/>
          <w:noProof w:val="0"/>
          <w:sz w:val="24"/>
          <w:szCs w:val="24"/>
          <w:lang w:eastAsia="ja-JP"/>
        </w:rPr>
        <w:t xml:space="preserve">– </w:t>
      </w:r>
      <w:r>
        <w:rPr>
          <w:i w:val="0"/>
          <w:noProof w:val="0"/>
          <w:sz w:val="24"/>
          <w:szCs w:val="24"/>
          <w:lang w:eastAsia="ja-JP"/>
        </w:rPr>
        <w:t>1</w:t>
      </w:r>
      <w:r w:rsidR="00F1679E">
        <w:rPr>
          <w:i w:val="0"/>
          <w:noProof w:val="0"/>
          <w:sz w:val="24"/>
          <w:szCs w:val="24"/>
          <w:lang w:eastAsia="ja-JP"/>
        </w:rPr>
        <w:t>2</w:t>
      </w:r>
      <w:r w:rsidR="00F1679E" w:rsidRPr="00F1679E">
        <w:rPr>
          <w:i w:val="0"/>
          <w:noProof w:val="0"/>
          <w:sz w:val="24"/>
          <w:szCs w:val="24"/>
          <w:vertAlign w:val="superscript"/>
          <w:lang w:eastAsia="ja-JP"/>
        </w:rPr>
        <w:t>th</w:t>
      </w:r>
      <w:r w:rsidR="00F1679E">
        <w:rPr>
          <w:i w:val="0"/>
          <w:noProof w:val="0"/>
          <w:sz w:val="24"/>
          <w:szCs w:val="24"/>
          <w:lang w:eastAsia="ja-JP"/>
        </w:rPr>
        <w:t xml:space="preserve"> </w:t>
      </w:r>
      <w:r w:rsidR="00290890">
        <w:rPr>
          <w:i w:val="0"/>
          <w:noProof w:val="0"/>
          <w:sz w:val="24"/>
          <w:szCs w:val="24"/>
          <w:lang w:eastAsia="ja-JP"/>
        </w:rPr>
        <w:t xml:space="preserve"> </w:t>
      </w:r>
    </w:p>
    <w:p w14:paraId="35FFBB28" w14:textId="77777777" w:rsidR="005E74BD" w:rsidRDefault="005E74BD" w:rsidP="007377BF">
      <w:pPr>
        <w:pStyle w:val="Footer"/>
        <w:jc w:val="both"/>
        <w:rPr>
          <w:noProof w:val="0"/>
        </w:rPr>
      </w:pPr>
    </w:p>
    <w:p w14:paraId="2EBBB431" w14:textId="7DDC179B"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D1C09">
        <w:rPr>
          <w:rFonts w:ascii="Arial" w:hAnsi="Arial"/>
          <w:b/>
          <w:sz w:val="24"/>
        </w:rPr>
        <w:t>SCS</w:t>
      </w:r>
      <w:r w:rsidR="00F255F1">
        <w:rPr>
          <w:rFonts w:ascii="Arial" w:eastAsia="SimSun" w:hAnsi="Arial"/>
          <w:b/>
          <w:sz w:val="24"/>
          <w:lang w:eastAsia="zh-CN"/>
        </w:rPr>
        <w:t xml:space="preserve"> </w:t>
      </w:r>
      <w:r w:rsidR="00687858">
        <w:rPr>
          <w:rFonts w:ascii="Arial" w:eastAsia="SimSun" w:hAnsi="Arial"/>
          <w:b/>
          <w:sz w:val="24"/>
          <w:lang w:eastAsia="zh-CN"/>
        </w:rPr>
        <w:t>determination for</w:t>
      </w:r>
      <w:r w:rsidR="00E60356">
        <w:rPr>
          <w:rFonts w:ascii="Arial" w:eastAsia="SimSun" w:hAnsi="Arial"/>
          <w:b/>
          <w:sz w:val="24"/>
          <w:lang w:eastAsia="zh-CN"/>
        </w:rPr>
        <w:t xml:space="preserve"> </w:t>
      </w:r>
      <w:r w:rsidR="00687858">
        <w:rPr>
          <w:rFonts w:ascii="Arial" w:eastAsia="SimSun" w:hAnsi="Arial"/>
          <w:b/>
          <w:sz w:val="24"/>
          <w:lang w:eastAsia="zh-CN"/>
        </w:rPr>
        <w:t>RF requirements in</w:t>
      </w:r>
      <w:r w:rsidR="00FB434D">
        <w:rPr>
          <w:rFonts w:ascii="Arial" w:eastAsia="SimSun" w:hAnsi="Arial"/>
          <w:b/>
          <w:sz w:val="24"/>
          <w:lang w:eastAsia="zh-CN"/>
        </w:rPr>
        <w:t xml:space="preserve"> BWP </w:t>
      </w:r>
      <w:r w:rsidR="00687858">
        <w:rPr>
          <w:rFonts w:ascii="Arial" w:eastAsia="SimSun" w:hAnsi="Arial"/>
          <w:b/>
          <w:sz w:val="24"/>
          <w:lang w:eastAsia="zh-CN"/>
        </w:rPr>
        <w:t>Operation</w:t>
      </w:r>
    </w:p>
    <w:p w14:paraId="71FC7A4A"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7DEC5573" w14:textId="019E72DD"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DB22A3" w:rsidRPr="00DB22A3">
        <w:rPr>
          <w:rFonts w:ascii="Arial" w:hAnsi="Arial"/>
          <w:b/>
          <w:sz w:val="24"/>
        </w:rPr>
        <w:t>7.5.1 - SCS restriction with BWP operation [NR_newRAT-Core]</w:t>
      </w:r>
      <w:r w:rsidR="0044118B">
        <w:rPr>
          <w:rFonts w:ascii="Arial" w:hAnsi="Arial"/>
          <w:b/>
          <w:sz w:val="24"/>
        </w:rPr>
        <w:tab/>
      </w:r>
    </w:p>
    <w:p w14:paraId="6E97249F"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764CDBD" w14:textId="77777777" w:rsidR="007377BF" w:rsidRDefault="00254EEC">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6B4B702F" w14:textId="133005E9" w:rsidR="00352A9E" w:rsidRDefault="00352A9E" w:rsidP="00F255F1">
      <w:r>
        <w:t>In RAN4#AH-1801 it was agreed that the UE will meet the RF requirements based on UE CC BW.</w:t>
      </w:r>
      <w:r w:rsidR="006B732E">
        <w:t xml:space="preserve"> And that there would be no additional BWP related requirements [1]. However, there was no agreement made as to which SCS: BWP or CC BW would be used to determine the RF requirements that UE has to meet. Additionally, the current RAN2 design specifies the CC BW on a per-SCS basis, rather than one single CC B</w:t>
      </w:r>
      <w:r w:rsidR="004E25D3">
        <w:t xml:space="preserve">W. For a given set of configured BWP’s which CC BW should be used as reference needs to be decided too. </w:t>
      </w:r>
    </w:p>
    <w:p w14:paraId="70E47E58" w14:textId="77777777" w:rsidR="00E15948" w:rsidRDefault="00A40B5A" w:rsidP="00BF71E1">
      <w:pPr>
        <w:pStyle w:val="Heading1"/>
      </w:pPr>
      <w:r>
        <w:t>Discussion</w:t>
      </w:r>
    </w:p>
    <w:p w14:paraId="08CFED7C" w14:textId="77777777" w:rsidR="00486FD2" w:rsidRDefault="00486FD2" w:rsidP="00486FD2">
      <w:pPr>
        <w:pStyle w:val="Heading2"/>
      </w:pPr>
      <w:r>
        <w:t>Background</w:t>
      </w:r>
    </w:p>
    <w:p w14:paraId="4D3F3E09" w14:textId="793B9ECA" w:rsidR="004E25D3" w:rsidRDefault="004924D1" w:rsidP="0078482A">
      <w:r>
        <w:t xml:space="preserve">In NR we have the concept of BWP for a UE where the </w:t>
      </w:r>
      <w:proofErr w:type="spellStart"/>
      <w:r>
        <w:t>gNodeB</w:t>
      </w:r>
      <w:proofErr w:type="spellEnd"/>
      <w:r>
        <w:t xml:space="preserve"> can configure the UE to a smaller chunk of BW within a CC rather than the full CC BW. From the UE perspective, this would be useful for power savings as the network can </w:t>
      </w:r>
      <w:r w:rsidR="009D1C09">
        <w:t>configure the UE with a BWP that has BW smaller than UE CC BW</w:t>
      </w:r>
      <w:r>
        <w:t xml:space="preserve"> when there are no grants and then switch to a </w:t>
      </w:r>
      <w:r w:rsidR="009D1C09">
        <w:t xml:space="preserve">BWP with </w:t>
      </w:r>
      <w:r>
        <w:t xml:space="preserve">wider BW when there are grants. </w:t>
      </w:r>
      <w:r w:rsidR="009D1C09">
        <w:t>Based on previous discussion, a</w:t>
      </w:r>
      <w:r>
        <w:t xml:space="preserve"> BWP change could potentially entail a change to SCS, BW and LO frequency, or any subset of those. </w:t>
      </w:r>
      <w:r w:rsidR="00E60356">
        <w:t xml:space="preserve">However, it </w:t>
      </w:r>
      <w:r w:rsidR="00CC3955">
        <w:t xml:space="preserve">is up to </w:t>
      </w:r>
      <w:r w:rsidR="00E60356">
        <w:t>the UE to decide whether it wants to switch to a smaller BW to avail itself of the power savings or continue to operate in the CC BW</w:t>
      </w:r>
      <w:r w:rsidR="009D1C09">
        <w:t xml:space="preserve"> to meet the RF requirements [1]</w:t>
      </w:r>
      <w:r w:rsidR="00E60356">
        <w:t xml:space="preserve">. From the network perspective a UE that is switching to a smaller BW and one that is always operating in the CC BW are identical.  </w:t>
      </w:r>
    </w:p>
    <w:p w14:paraId="24D471DD" w14:textId="197598E7" w:rsidR="004E25D3" w:rsidRDefault="004E25D3" w:rsidP="0078482A">
      <w:r>
        <w:t>For a UE operating in BWP, RAN4 decided the following in [1]</w:t>
      </w:r>
    </w:p>
    <w:p w14:paraId="16A06EB4" w14:textId="77777777" w:rsidR="005440DA" w:rsidRPr="004E25D3" w:rsidRDefault="009D06A3" w:rsidP="004E25D3">
      <w:pPr>
        <w:numPr>
          <w:ilvl w:val="1"/>
          <w:numId w:val="14"/>
        </w:numPr>
      </w:pPr>
      <w:r w:rsidRPr="004E25D3">
        <w:t>UE behavior</w:t>
      </w:r>
    </w:p>
    <w:p w14:paraId="23C3ADA8" w14:textId="77777777" w:rsidR="005440DA" w:rsidRPr="004E25D3" w:rsidRDefault="009D06A3" w:rsidP="004E25D3">
      <w:pPr>
        <w:numPr>
          <w:ilvl w:val="2"/>
          <w:numId w:val="14"/>
        </w:numPr>
      </w:pPr>
      <w:r w:rsidRPr="004E25D3">
        <w:t xml:space="preserve">The UE meets RF requirements related to </w:t>
      </w:r>
      <w:proofErr w:type="spellStart"/>
      <w:r w:rsidRPr="004E25D3">
        <w:t>it’s</w:t>
      </w:r>
      <w:proofErr w:type="spellEnd"/>
      <w:r w:rsidRPr="004E25D3">
        <w:t xml:space="preserve"> configured BWP according to UE CBW (no additional BWP related RF requirements)</w:t>
      </w:r>
    </w:p>
    <w:p w14:paraId="24E9DDB3" w14:textId="77777777" w:rsidR="005440DA" w:rsidRPr="004E25D3" w:rsidRDefault="009D06A3" w:rsidP="004E25D3">
      <w:pPr>
        <w:numPr>
          <w:ilvl w:val="3"/>
          <w:numId w:val="14"/>
        </w:numPr>
      </w:pPr>
      <w:r w:rsidRPr="004E25D3">
        <w:t>FFS whether UE CBW next highest value after BWP bandwidth</w:t>
      </w:r>
    </w:p>
    <w:p w14:paraId="3AEAE36F" w14:textId="77777777" w:rsidR="005440DA" w:rsidRPr="004E25D3" w:rsidRDefault="009D06A3" w:rsidP="004E25D3">
      <w:pPr>
        <w:numPr>
          <w:ilvl w:val="2"/>
          <w:numId w:val="14"/>
        </w:numPr>
      </w:pPr>
      <w:r w:rsidRPr="004E25D3">
        <w:t>How the UE configures it’s RF in order to operate the BWP and meet the CBW based RF requirements is implementation dependent</w:t>
      </w:r>
    </w:p>
    <w:p w14:paraId="32428B78" w14:textId="0AF209D5" w:rsidR="004E25D3" w:rsidRDefault="004E25D3" w:rsidP="0078482A">
      <w:r>
        <w:lastRenderedPageBreak/>
        <w:t>However, the current RAN2 design on CC BW is per SCS. Thus, in the case where configured BWP’s have different SCS, RAN4 needs to decide which CC BW should be chosen as reference.</w:t>
      </w:r>
    </w:p>
    <w:p w14:paraId="559BEEAF" w14:textId="37D2E199" w:rsidR="004E25D3" w:rsidRDefault="004E25D3" w:rsidP="0078482A">
      <w:r w:rsidRPr="00386638">
        <w:rPr>
          <w:b/>
        </w:rPr>
        <w:t>Proposal 1</w:t>
      </w:r>
      <w:r w:rsidR="00386638" w:rsidRPr="00386638">
        <w:rPr>
          <w:b/>
        </w:rPr>
        <w:t>a</w:t>
      </w:r>
      <w:r>
        <w:t xml:space="preserve">: For a UE configured with multiple BWP’s with the same SCS, the </w:t>
      </w:r>
      <w:proofErr w:type="spellStart"/>
      <w:r w:rsidR="009D06A3">
        <w:t>carrierBan</w:t>
      </w:r>
      <w:r w:rsidR="00386638">
        <w:t>dwidth</w:t>
      </w:r>
      <w:proofErr w:type="spellEnd"/>
      <w:r w:rsidR="00386638">
        <w:t xml:space="preserve"> corresponding to the SCS from SCS-</w:t>
      </w:r>
      <w:proofErr w:type="spellStart"/>
      <w:r w:rsidR="00386638">
        <w:t>specificCarrier</w:t>
      </w:r>
      <w:proofErr w:type="spellEnd"/>
      <w:r w:rsidR="00386638">
        <w:t xml:space="preserve"> should be used as reference to determine RF requirements.</w:t>
      </w:r>
    </w:p>
    <w:p w14:paraId="0020655D" w14:textId="6AB55414" w:rsidR="008455B2" w:rsidRDefault="00386638" w:rsidP="0078482A">
      <w:r w:rsidRPr="00386638">
        <w:rPr>
          <w:b/>
        </w:rPr>
        <w:t>Proposal 1b</w:t>
      </w:r>
      <w:r>
        <w:t>: For a UE configured with BWP’s with multiple SCS, RAN4 to decide how to choose reference CC BW from the set specified in SCS-</w:t>
      </w:r>
      <w:proofErr w:type="spellStart"/>
      <w:r>
        <w:t>specificCarrier</w:t>
      </w:r>
      <w:proofErr w:type="spellEnd"/>
      <w:r>
        <w:t xml:space="preserve">.  </w:t>
      </w:r>
    </w:p>
    <w:p w14:paraId="79CE0DD3" w14:textId="2E4D46D4" w:rsidR="005F1F1E" w:rsidRDefault="008455B2" w:rsidP="0078482A">
      <w:r>
        <w:t xml:space="preserve">While it was decided that UE will use the CC BW as reference for RF requirements, there were no agreements made as to which SCS shall be used in scenarios where the SCS between configured BWP’s are different. The idea behind using the CC BW as reference was to ensure that </w:t>
      </w:r>
      <w:r w:rsidR="00FA5C14">
        <w:t>RF requirements do not change upon</w:t>
      </w:r>
      <w:r w:rsidR="00E737D8">
        <w:t xml:space="preserve"> a BWP switch. However, in case that BWP SCS is different from CC BW SCS, we need to ensure that it does not mandate stricter requirements than with BWP SCS. AS an example, consider the following scenario: BWP BW 50 MHz, BWP SCS </w:t>
      </w:r>
      <w:r w:rsidR="005F1F1E">
        <w:t>30</w:t>
      </w:r>
      <w:r w:rsidR="00E737D8">
        <w:t xml:space="preserve"> kHz, CC BW 50 MHz, CC SCS </w:t>
      </w:r>
      <w:r w:rsidR="005F1F1E">
        <w:t>15</w:t>
      </w:r>
      <w:r w:rsidR="00E737D8">
        <w:t xml:space="preserve"> kHz. </w:t>
      </w:r>
      <w:r w:rsidR="005F1F1E">
        <w:t>If</w:t>
      </w:r>
      <w:r w:rsidR="00E737D8">
        <w:t xml:space="preserve"> RF requirements are based on CC BW and SCS, the ACS jammer requirements in this case would be based on 50 MHz, </w:t>
      </w:r>
      <w:r w:rsidR="005F1F1E">
        <w:t xml:space="preserve">15 kHz. Since the BW occupancy with BW 50 MHz and SCS 30 kHz is smaller than that for SCS 15 kHz, the UE now must meet more stringent with a 15 kHz SCS signal because it is operating in BWP rather than CC BW. It is our opinion that UE requirements for a given SCS should not be get more stringent because of the configured CC BW. In the above example the UE requirements should not be more stringent in case of CC SCS is 15 </w:t>
      </w:r>
      <w:proofErr w:type="spellStart"/>
      <w:r w:rsidR="005F1F1E">
        <w:t>Khz</w:t>
      </w:r>
      <w:proofErr w:type="spellEnd"/>
      <w:r w:rsidR="005F1F1E">
        <w:t xml:space="preserve"> that it would have been for CC SCS 30 kHz. </w:t>
      </w:r>
      <w:r w:rsidR="00254EEC">
        <w:t xml:space="preserve">It may be the case that UE cannot meet the 15 kHz SCS requirements based on 30 kHz signal. </w:t>
      </w:r>
      <w:bookmarkStart w:id="0" w:name="_GoBack"/>
      <w:bookmarkEnd w:id="0"/>
    </w:p>
    <w:p w14:paraId="7AB9E942" w14:textId="0D7B0E8D" w:rsidR="008455B2" w:rsidRDefault="005F1F1E" w:rsidP="0078482A">
      <w:r w:rsidRPr="00BE1EC5">
        <w:rPr>
          <w:b/>
        </w:rPr>
        <w:t>Proposal 2</w:t>
      </w:r>
      <w:r>
        <w:t xml:space="preserve">: RAN4 to decide which SCS to use, BWP or CC, </w:t>
      </w:r>
      <w:r w:rsidR="00BE1EC5">
        <w:t xml:space="preserve">for UE RF requirements. </w:t>
      </w:r>
      <w:r>
        <w:t xml:space="preserve">  </w:t>
      </w:r>
      <w:r w:rsidR="00E737D8">
        <w:t xml:space="preserve"> </w:t>
      </w:r>
    </w:p>
    <w:p w14:paraId="60E7E1D4" w14:textId="3D279F79" w:rsidR="008455B2" w:rsidRDefault="00BE1EC5" w:rsidP="0078482A">
      <w:r w:rsidRPr="00BE1EC5">
        <w:rPr>
          <w:b/>
        </w:rPr>
        <w:t>Proposal 2a</w:t>
      </w:r>
      <w:r>
        <w:t xml:space="preserve">: UE will never have to meet more stringent requirements than corresponding to BWP BW and BWP SCS. </w:t>
      </w:r>
    </w:p>
    <w:p w14:paraId="0BDC7F1E" w14:textId="77777777" w:rsidR="006C4B0B" w:rsidRDefault="006C4B0B" w:rsidP="006C4B0B">
      <w:pPr>
        <w:pStyle w:val="Heading1"/>
      </w:pPr>
      <w:r>
        <w:t>Conclusions</w:t>
      </w:r>
    </w:p>
    <w:p w14:paraId="677292F4" w14:textId="77777777" w:rsidR="00EE2DCB" w:rsidRDefault="00EE2DCB" w:rsidP="00EE2DCB">
      <w:r w:rsidRPr="00386638">
        <w:rPr>
          <w:b/>
        </w:rPr>
        <w:t>Proposal 1a</w:t>
      </w:r>
      <w:r>
        <w:t xml:space="preserve">: For a UE configured with multiple BWP’s with the same SCS, the </w:t>
      </w:r>
      <w:proofErr w:type="spellStart"/>
      <w:r>
        <w:t>carrierBandwidth</w:t>
      </w:r>
      <w:proofErr w:type="spellEnd"/>
      <w:r>
        <w:t xml:space="preserve"> corresponding to the SCS from SCS-</w:t>
      </w:r>
      <w:proofErr w:type="spellStart"/>
      <w:r>
        <w:t>specificCarrier</w:t>
      </w:r>
      <w:proofErr w:type="spellEnd"/>
      <w:r>
        <w:t xml:space="preserve"> should be used as reference to determine RF requirements.</w:t>
      </w:r>
    </w:p>
    <w:p w14:paraId="317C966C" w14:textId="77777777" w:rsidR="00EE2DCB" w:rsidRDefault="00EE2DCB" w:rsidP="00EE2DCB">
      <w:r w:rsidRPr="00386638">
        <w:rPr>
          <w:b/>
        </w:rPr>
        <w:t>Proposal 1b</w:t>
      </w:r>
      <w:r>
        <w:t>: For a UE configured with BWP’s with multiple SCS, RAN4 to decide how to choose reference CC BW from the set specified in SCS-</w:t>
      </w:r>
      <w:proofErr w:type="spellStart"/>
      <w:r>
        <w:t>specificCarrier</w:t>
      </w:r>
      <w:proofErr w:type="spellEnd"/>
      <w:r>
        <w:t xml:space="preserve">.  </w:t>
      </w:r>
    </w:p>
    <w:p w14:paraId="240685DC" w14:textId="77777777" w:rsidR="00EE2DCB" w:rsidRDefault="00EE2DCB" w:rsidP="00EE2DCB">
      <w:r w:rsidRPr="00BE1EC5">
        <w:rPr>
          <w:b/>
        </w:rPr>
        <w:t>Proposal 2</w:t>
      </w:r>
      <w:r>
        <w:t xml:space="preserve">: RAN4 to decide which SCS to use, BWP or CC, for UE RF requirements.    </w:t>
      </w:r>
    </w:p>
    <w:p w14:paraId="5E9775F6" w14:textId="733D5E39" w:rsidR="00F2735D" w:rsidRPr="00EE2DCB" w:rsidRDefault="00EE2DCB" w:rsidP="003201D5">
      <w:r w:rsidRPr="00BE1EC5">
        <w:rPr>
          <w:b/>
        </w:rPr>
        <w:t>Proposal 2a</w:t>
      </w:r>
      <w:r>
        <w:t xml:space="preserve">: UE will never have to meet more stringent requirements than corresponding to BWP BW and BWP SCS. </w:t>
      </w:r>
    </w:p>
    <w:p w14:paraId="40E7606A" w14:textId="15E19017" w:rsidR="00F2735D" w:rsidRDefault="00F2735D" w:rsidP="00F2735D">
      <w:pPr>
        <w:pStyle w:val="Heading1"/>
      </w:pPr>
      <w:r>
        <w:t xml:space="preserve">References </w:t>
      </w:r>
    </w:p>
    <w:p w14:paraId="1FCED613" w14:textId="6816DC97" w:rsidR="00F2735D" w:rsidRPr="00077458" w:rsidRDefault="00F2735D" w:rsidP="003201D5">
      <w:pPr>
        <w:rPr>
          <w:rFonts w:cstheme="minorHAnsi"/>
        </w:rPr>
      </w:pPr>
      <w:r>
        <w:rPr>
          <w:rFonts w:cstheme="minorHAnsi"/>
        </w:rPr>
        <w:t xml:space="preserve">[1] </w:t>
      </w:r>
      <w:r w:rsidRPr="00F2735D">
        <w:rPr>
          <w:rFonts w:cstheme="minorHAnsi"/>
        </w:rPr>
        <w:t>R4-1801006, WF on wideband operation of NR UE, 3GPP TSG-RAN WG4 #AH-1801 Meeting, San Diego, California, USA, Jan. 22 – 26, 2018</w:t>
      </w:r>
    </w:p>
    <w:sectPr w:rsidR="00F2735D" w:rsidRPr="00077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FC60B3"/>
    <w:multiLevelType w:val="hybridMultilevel"/>
    <w:tmpl w:val="15408AA6"/>
    <w:lvl w:ilvl="0" w:tplc="6C1A8904">
      <w:start w:val="1"/>
      <w:numFmt w:val="bullet"/>
      <w:lvlText w:val="•"/>
      <w:lvlJc w:val="left"/>
      <w:pPr>
        <w:tabs>
          <w:tab w:val="num" w:pos="720"/>
        </w:tabs>
        <w:ind w:left="720" w:hanging="360"/>
      </w:pPr>
      <w:rPr>
        <w:rFonts w:ascii="Arial" w:hAnsi="Arial" w:hint="default"/>
      </w:rPr>
    </w:lvl>
    <w:lvl w:ilvl="1" w:tplc="DE80799C">
      <w:start w:val="1"/>
      <w:numFmt w:val="bullet"/>
      <w:lvlText w:val="•"/>
      <w:lvlJc w:val="left"/>
      <w:pPr>
        <w:tabs>
          <w:tab w:val="num" w:pos="1440"/>
        </w:tabs>
        <w:ind w:left="1440" w:hanging="360"/>
      </w:pPr>
      <w:rPr>
        <w:rFonts w:ascii="Arial" w:hAnsi="Arial" w:hint="default"/>
      </w:rPr>
    </w:lvl>
    <w:lvl w:ilvl="2" w:tplc="C116EB86">
      <w:start w:val="110"/>
      <w:numFmt w:val="bullet"/>
      <w:lvlText w:val=""/>
      <w:lvlJc w:val="left"/>
      <w:pPr>
        <w:tabs>
          <w:tab w:val="num" w:pos="2160"/>
        </w:tabs>
        <w:ind w:left="2160" w:hanging="360"/>
      </w:pPr>
      <w:rPr>
        <w:rFonts w:ascii="Wingdings" w:hAnsi="Wingdings" w:hint="default"/>
      </w:rPr>
    </w:lvl>
    <w:lvl w:ilvl="3" w:tplc="192068E0">
      <w:start w:val="110"/>
      <w:numFmt w:val="bullet"/>
      <w:lvlText w:val=""/>
      <w:lvlJc w:val="left"/>
      <w:pPr>
        <w:tabs>
          <w:tab w:val="num" w:pos="2880"/>
        </w:tabs>
        <w:ind w:left="2880" w:hanging="360"/>
      </w:pPr>
      <w:rPr>
        <w:rFonts w:ascii="Wingdings" w:hAnsi="Wingdings" w:hint="default"/>
      </w:rPr>
    </w:lvl>
    <w:lvl w:ilvl="4" w:tplc="F954AC50" w:tentative="1">
      <w:start w:val="1"/>
      <w:numFmt w:val="bullet"/>
      <w:lvlText w:val="•"/>
      <w:lvlJc w:val="left"/>
      <w:pPr>
        <w:tabs>
          <w:tab w:val="num" w:pos="3600"/>
        </w:tabs>
        <w:ind w:left="3600" w:hanging="360"/>
      </w:pPr>
      <w:rPr>
        <w:rFonts w:ascii="Arial" w:hAnsi="Arial" w:hint="default"/>
      </w:rPr>
    </w:lvl>
    <w:lvl w:ilvl="5" w:tplc="14FAFCCA" w:tentative="1">
      <w:start w:val="1"/>
      <w:numFmt w:val="bullet"/>
      <w:lvlText w:val="•"/>
      <w:lvlJc w:val="left"/>
      <w:pPr>
        <w:tabs>
          <w:tab w:val="num" w:pos="4320"/>
        </w:tabs>
        <w:ind w:left="4320" w:hanging="360"/>
      </w:pPr>
      <w:rPr>
        <w:rFonts w:ascii="Arial" w:hAnsi="Arial" w:hint="default"/>
      </w:rPr>
    </w:lvl>
    <w:lvl w:ilvl="6" w:tplc="74CAFEC4" w:tentative="1">
      <w:start w:val="1"/>
      <w:numFmt w:val="bullet"/>
      <w:lvlText w:val="•"/>
      <w:lvlJc w:val="left"/>
      <w:pPr>
        <w:tabs>
          <w:tab w:val="num" w:pos="5040"/>
        </w:tabs>
        <w:ind w:left="5040" w:hanging="360"/>
      </w:pPr>
      <w:rPr>
        <w:rFonts w:ascii="Arial" w:hAnsi="Arial" w:hint="default"/>
      </w:rPr>
    </w:lvl>
    <w:lvl w:ilvl="7" w:tplc="2D54748A" w:tentative="1">
      <w:start w:val="1"/>
      <w:numFmt w:val="bullet"/>
      <w:lvlText w:val="•"/>
      <w:lvlJc w:val="left"/>
      <w:pPr>
        <w:tabs>
          <w:tab w:val="num" w:pos="5760"/>
        </w:tabs>
        <w:ind w:left="5760" w:hanging="360"/>
      </w:pPr>
      <w:rPr>
        <w:rFonts w:ascii="Arial" w:hAnsi="Arial" w:hint="default"/>
      </w:rPr>
    </w:lvl>
    <w:lvl w:ilvl="8" w:tplc="40DED4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57AD6"/>
    <w:rsid w:val="00063518"/>
    <w:rsid w:val="00077458"/>
    <w:rsid w:val="0008068B"/>
    <w:rsid w:val="000A400E"/>
    <w:rsid w:val="000A7CFE"/>
    <w:rsid w:val="000B5E3B"/>
    <w:rsid w:val="00170C35"/>
    <w:rsid w:val="001B0D58"/>
    <w:rsid w:val="00254EEC"/>
    <w:rsid w:val="00260A5B"/>
    <w:rsid w:val="00290890"/>
    <w:rsid w:val="002E7E26"/>
    <w:rsid w:val="003201D5"/>
    <w:rsid w:val="00352A9E"/>
    <w:rsid w:val="0036188A"/>
    <w:rsid w:val="00374315"/>
    <w:rsid w:val="00386638"/>
    <w:rsid w:val="003A11C1"/>
    <w:rsid w:val="003A4AFB"/>
    <w:rsid w:val="003B459E"/>
    <w:rsid w:val="003C37CF"/>
    <w:rsid w:val="003D04DF"/>
    <w:rsid w:val="00403DF2"/>
    <w:rsid w:val="00432D16"/>
    <w:rsid w:val="0044118B"/>
    <w:rsid w:val="00486FD2"/>
    <w:rsid w:val="004924D1"/>
    <w:rsid w:val="004B34F7"/>
    <w:rsid w:val="004E25D3"/>
    <w:rsid w:val="004E6A2A"/>
    <w:rsid w:val="00542E50"/>
    <w:rsid w:val="005440DA"/>
    <w:rsid w:val="005520BD"/>
    <w:rsid w:val="0057302B"/>
    <w:rsid w:val="00580173"/>
    <w:rsid w:val="005D2E5A"/>
    <w:rsid w:val="005E74BD"/>
    <w:rsid w:val="005F1F1E"/>
    <w:rsid w:val="00673C1D"/>
    <w:rsid w:val="00687858"/>
    <w:rsid w:val="006B732E"/>
    <w:rsid w:val="006C4B0B"/>
    <w:rsid w:val="006F472F"/>
    <w:rsid w:val="00703089"/>
    <w:rsid w:val="00733F5F"/>
    <w:rsid w:val="007377BF"/>
    <w:rsid w:val="00750D68"/>
    <w:rsid w:val="00777D92"/>
    <w:rsid w:val="0078482A"/>
    <w:rsid w:val="00797E00"/>
    <w:rsid w:val="007C0DF6"/>
    <w:rsid w:val="007E7820"/>
    <w:rsid w:val="00815012"/>
    <w:rsid w:val="008455B2"/>
    <w:rsid w:val="00883B2E"/>
    <w:rsid w:val="0089294C"/>
    <w:rsid w:val="008A2940"/>
    <w:rsid w:val="008A5117"/>
    <w:rsid w:val="008F3395"/>
    <w:rsid w:val="008F7935"/>
    <w:rsid w:val="009414E8"/>
    <w:rsid w:val="00943B69"/>
    <w:rsid w:val="00945C8B"/>
    <w:rsid w:val="00951BBA"/>
    <w:rsid w:val="00954552"/>
    <w:rsid w:val="00990DDB"/>
    <w:rsid w:val="00994E5F"/>
    <w:rsid w:val="009D06A3"/>
    <w:rsid w:val="009D1A20"/>
    <w:rsid w:val="009D1C09"/>
    <w:rsid w:val="009D66DD"/>
    <w:rsid w:val="009F2370"/>
    <w:rsid w:val="00A24B7F"/>
    <w:rsid w:val="00A25C82"/>
    <w:rsid w:val="00A40B5A"/>
    <w:rsid w:val="00A41ED4"/>
    <w:rsid w:val="00A42D45"/>
    <w:rsid w:val="00A5127D"/>
    <w:rsid w:val="00A7223A"/>
    <w:rsid w:val="00AA1979"/>
    <w:rsid w:val="00AA69AD"/>
    <w:rsid w:val="00AC1315"/>
    <w:rsid w:val="00B009D8"/>
    <w:rsid w:val="00B21EF3"/>
    <w:rsid w:val="00B22091"/>
    <w:rsid w:val="00BD18A1"/>
    <w:rsid w:val="00BE1EC5"/>
    <w:rsid w:val="00BF71E1"/>
    <w:rsid w:val="00C2177A"/>
    <w:rsid w:val="00C45A63"/>
    <w:rsid w:val="00C56E72"/>
    <w:rsid w:val="00CA14C2"/>
    <w:rsid w:val="00CB062C"/>
    <w:rsid w:val="00CC3955"/>
    <w:rsid w:val="00CD6567"/>
    <w:rsid w:val="00CE0CF3"/>
    <w:rsid w:val="00CF3ABF"/>
    <w:rsid w:val="00D06A85"/>
    <w:rsid w:val="00D3417F"/>
    <w:rsid w:val="00D44CC4"/>
    <w:rsid w:val="00DB22A3"/>
    <w:rsid w:val="00DC1F94"/>
    <w:rsid w:val="00DC7E8E"/>
    <w:rsid w:val="00DF587A"/>
    <w:rsid w:val="00E152BF"/>
    <w:rsid w:val="00E15948"/>
    <w:rsid w:val="00E16545"/>
    <w:rsid w:val="00E60356"/>
    <w:rsid w:val="00E737D8"/>
    <w:rsid w:val="00EE2DCB"/>
    <w:rsid w:val="00EE6D67"/>
    <w:rsid w:val="00F02B06"/>
    <w:rsid w:val="00F1679E"/>
    <w:rsid w:val="00F255F1"/>
    <w:rsid w:val="00F2735D"/>
    <w:rsid w:val="00F3272A"/>
    <w:rsid w:val="00F37147"/>
    <w:rsid w:val="00F44F7C"/>
    <w:rsid w:val="00F45595"/>
    <w:rsid w:val="00F677D2"/>
    <w:rsid w:val="00F9122F"/>
    <w:rsid w:val="00FA20D2"/>
    <w:rsid w:val="00FA5C14"/>
    <w:rsid w:val="00FB434D"/>
    <w:rsid w:val="00FC58D7"/>
    <w:rsid w:val="00FD05E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2124037325">
      <w:bodyDiv w:val="1"/>
      <w:marLeft w:val="0"/>
      <w:marRight w:val="0"/>
      <w:marTop w:val="0"/>
      <w:marBottom w:val="0"/>
      <w:divBdr>
        <w:top w:val="none" w:sz="0" w:space="0" w:color="auto"/>
        <w:left w:val="none" w:sz="0" w:space="0" w:color="auto"/>
        <w:bottom w:val="none" w:sz="0" w:space="0" w:color="auto"/>
        <w:right w:val="none" w:sz="0" w:space="0" w:color="auto"/>
      </w:divBdr>
      <w:divsChild>
        <w:div w:id="1552110057">
          <w:marLeft w:val="1080"/>
          <w:marRight w:val="0"/>
          <w:marTop w:val="100"/>
          <w:marBottom w:val="0"/>
          <w:divBdr>
            <w:top w:val="none" w:sz="0" w:space="0" w:color="auto"/>
            <w:left w:val="none" w:sz="0" w:space="0" w:color="auto"/>
            <w:bottom w:val="none" w:sz="0" w:space="0" w:color="auto"/>
            <w:right w:val="none" w:sz="0" w:space="0" w:color="auto"/>
          </w:divBdr>
        </w:div>
        <w:div w:id="787117762">
          <w:marLeft w:val="1800"/>
          <w:marRight w:val="0"/>
          <w:marTop w:val="120"/>
          <w:marBottom w:val="120"/>
          <w:divBdr>
            <w:top w:val="none" w:sz="0" w:space="0" w:color="auto"/>
            <w:left w:val="none" w:sz="0" w:space="0" w:color="auto"/>
            <w:bottom w:val="none" w:sz="0" w:space="0" w:color="auto"/>
            <w:right w:val="none" w:sz="0" w:space="0" w:color="auto"/>
          </w:divBdr>
        </w:div>
        <w:div w:id="1564221201">
          <w:marLeft w:val="2520"/>
          <w:marRight w:val="0"/>
          <w:marTop w:val="120"/>
          <w:marBottom w:val="120"/>
          <w:divBdr>
            <w:top w:val="none" w:sz="0" w:space="0" w:color="auto"/>
            <w:left w:val="none" w:sz="0" w:space="0" w:color="auto"/>
            <w:bottom w:val="none" w:sz="0" w:space="0" w:color="auto"/>
            <w:right w:val="none" w:sz="0" w:space="0" w:color="auto"/>
          </w:divBdr>
        </w:div>
        <w:div w:id="764813314">
          <w:marLeft w:val="180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F9D36-0D75-4205-BCD7-C8F648FEB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2018-09-28T22:53:00Z</dcterms:created>
  <dcterms:modified xsi:type="dcterms:W3CDTF">2018-09-28T22:54:00Z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